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14CC8" w14:textId="77777777" w:rsidR="004A082C" w:rsidRPr="004A082C" w:rsidRDefault="004A082C" w:rsidP="004A082C">
      <w:pPr>
        <w:widowControl w:val="0"/>
        <w:autoSpaceDE w:val="0"/>
        <w:autoSpaceDN w:val="0"/>
        <w:spacing w:before="1" w:after="0" w:line="242" w:lineRule="auto"/>
        <w:ind w:right="115"/>
        <w:rPr>
          <w:rFonts w:ascii="Times New Roman" w:eastAsia="Times New Roman" w:hAnsi="Times New Roman" w:cs="Times New Roman"/>
          <w:kern w:val="0"/>
          <w:sz w:val="24"/>
          <w:szCs w:val="24"/>
          <w14:ligatures w14:val="none"/>
        </w:rPr>
      </w:pPr>
      <w:r w:rsidRPr="004A082C">
        <w:rPr>
          <w:rFonts w:ascii="Times New Roman" w:eastAsia="Times New Roman" w:hAnsi="Times New Roman" w:cs="Times New Roman"/>
          <w:b/>
          <w:bCs/>
          <w:kern w:val="0"/>
          <w:sz w:val="24"/>
          <w:szCs w:val="24"/>
          <w14:ligatures w14:val="none"/>
        </w:rPr>
        <w:t>Descripción del Proyecto NOPROLAC.</w:t>
      </w:r>
      <w:r w:rsidRPr="004A082C">
        <w:rPr>
          <w:rFonts w:ascii="Times New Roman" w:eastAsia="Times New Roman" w:hAnsi="Times New Roman" w:cs="Times New Roman"/>
          <w:kern w:val="0"/>
          <w:sz w:val="24"/>
          <w:szCs w:val="24"/>
          <w14:ligatures w14:val="none"/>
        </w:rPr>
        <w:t xml:space="preserve"> </w:t>
      </w:r>
    </w:p>
    <w:p w14:paraId="195B70F8" w14:textId="77777777" w:rsidR="004A082C" w:rsidRPr="004A082C" w:rsidRDefault="004A082C" w:rsidP="004A082C">
      <w:pPr>
        <w:widowControl w:val="0"/>
        <w:autoSpaceDE w:val="0"/>
        <w:autoSpaceDN w:val="0"/>
        <w:spacing w:before="1" w:after="0" w:line="242" w:lineRule="auto"/>
        <w:ind w:right="115"/>
        <w:jc w:val="both"/>
        <w:rPr>
          <w:rFonts w:ascii="Times New Roman" w:eastAsia="Times New Roman" w:hAnsi="Times New Roman" w:cs="Times New Roman"/>
          <w:kern w:val="0"/>
          <w:sz w:val="24"/>
          <w:szCs w:val="24"/>
          <w14:ligatures w14:val="none"/>
        </w:rPr>
      </w:pPr>
      <w:r w:rsidRPr="004A082C">
        <w:rPr>
          <w:rFonts w:ascii="Times New Roman" w:eastAsia="Times New Roman" w:hAnsi="Times New Roman" w:cs="Times New Roman"/>
          <w:kern w:val="0"/>
          <w:sz w:val="24"/>
          <w:szCs w:val="24"/>
          <w14:ligatures w14:val="none"/>
        </w:rPr>
        <w:t xml:space="preserve">En un esfuerzo conjunto realizado por el Consejo Nacional para la Reglamentación y Fomento de la Industria Lechera (CONALECHE) y la Dirección General de Ganadería (DIGEGA), como líderes del sector pecuario y conociendo la importancia que tiene el sector transformador para el sector lácteo, fue sometido y aprobado el </w:t>
      </w:r>
      <w:r w:rsidRPr="004A082C">
        <w:rPr>
          <w:rFonts w:ascii="Times New Roman" w:eastAsia="Times New Roman" w:hAnsi="Times New Roman" w:cs="Times New Roman"/>
          <w:kern w:val="0"/>
          <w:sz w:val="24"/>
          <w:szCs w:val="24"/>
          <w:lang w:val="es-ES"/>
          <w14:ligatures w14:val="none"/>
        </w:rPr>
        <w:t xml:space="preserve">primer proyecto de inversión pública, que será administrado por el CONALECHE. El proyecto que lleva por título “Normalización de las Procesadoras Lácteas de la República Dominicana” (NOPROLAC), tiene como principal objetivo apoyar las procesadoras lácteas nacionales (principalmente medianas y pequeñas queserías) para que puedan mejorar las condiciones en las que operan, logren cumplir con las normas de higiene y de calidad internacionalmente aceptadas y aumenten su productividad, rentabilidad y competitividad .El mismo fue gestionado ante el Ministerio de Economía Planificación y Desarrollo, MEPyD y la Dirección General de Presupuesto, DIGEPRES y será </w:t>
      </w:r>
      <w:r w:rsidRPr="004A082C">
        <w:rPr>
          <w:rFonts w:ascii="Times New Roman" w:eastAsia="Times New Roman" w:hAnsi="Times New Roman" w:cs="Times New Roman"/>
          <w:kern w:val="0"/>
          <w:sz w:val="24"/>
          <w:szCs w:val="24"/>
          <w14:ligatures w14:val="none"/>
        </w:rPr>
        <w:t xml:space="preserve"> ejecutado en coordinación con el Ministerio de Agricultura de la República Dominicana (MARD), el Ministerio de Industria y Comercio y Mipymes (MICM), Ministerio de Salud Pública  y Asistencia Social (MISPAS) y la DIGEMAPS, entre otras instituciones públicas, privadas y descentralizadas.</w:t>
      </w:r>
    </w:p>
    <w:p w14:paraId="6409AB8A" w14:textId="77777777" w:rsidR="004A082C" w:rsidRPr="004A082C" w:rsidRDefault="004A082C" w:rsidP="004A082C">
      <w:pPr>
        <w:widowControl w:val="0"/>
        <w:autoSpaceDE w:val="0"/>
        <w:autoSpaceDN w:val="0"/>
        <w:spacing w:before="1" w:after="0" w:line="242" w:lineRule="auto"/>
        <w:ind w:right="115"/>
        <w:rPr>
          <w:rFonts w:ascii="Times New Roman" w:eastAsia="Times New Roman" w:hAnsi="Times New Roman" w:cs="Times New Roman"/>
          <w:b/>
          <w:bCs/>
          <w:kern w:val="0"/>
          <w:sz w:val="24"/>
          <w:szCs w:val="24"/>
          <w:u w:val="single"/>
          <w14:ligatures w14:val="none"/>
        </w:rPr>
      </w:pPr>
    </w:p>
    <w:p w14:paraId="6206B7FB" w14:textId="77777777" w:rsidR="004A082C" w:rsidRPr="004A082C" w:rsidRDefault="004A082C" w:rsidP="004A082C">
      <w:pPr>
        <w:widowControl w:val="0"/>
        <w:autoSpaceDE w:val="0"/>
        <w:autoSpaceDN w:val="0"/>
        <w:spacing w:before="1" w:after="0" w:line="242" w:lineRule="auto"/>
        <w:ind w:right="115"/>
        <w:rPr>
          <w:rFonts w:ascii="Times New Roman" w:eastAsia="Times New Roman" w:hAnsi="Times New Roman" w:cs="Times New Roman"/>
          <w:kern w:val="0"/>
          <w:sz w:val="24"/>
          <w:szCs w:val="24"/>
          <w14:ligatures w14:val="none"/>
        </w:rPr>
      </w:pPr>
      <w:r w:rsidRPr="004A082C">
        <w:rPr>
          <w:rFonts w:ascii="Times New Roman" w:eastAsia="Times New Roman" w:hAnsi="Times New Roman" w:cs="Times New Roman"/>
          <w:b/>
          <w:bCs/>
          <w:kern w:val="0"/>
          <w:sz w:val="24"/>
          <w:szCs w:val="24"/>
          <w:u w:val="single"/>
          <w14:ligatures w14:val="none"/>
        </w:rPr>
        <w:t>Objetivos específicos:</w:t>
      </w:r>
      <w:r w:rsidRPr="004A082C">
        <w:rPr>
          <w:rFonts w:ascii="Times New Roman" w:eastAsia="Times New Roman" w:hAnsi="Times New Roman" w:cs="Times New Roman"/>
          <w:b/>
          <w:bCs/>
          <w:kern w:val="0"/>
          <w:sz w:val="24"/>
          <w:szCs w:val="24"/>
          <w:u w:val="single"/>
          <w14:ligatures w14:val="none"/>
        </w:rPr>
        <w:br/>
      </w:r>
      <w:r w:rsidRPr="004A082C">
        <w:rPr>
          <w:rFonts w:ascii="Times New Roman" w:eastAsia="Times New Roman" w:hAnsi="Times New Roman" w:cs="Times New Roman"/>
          <w:kern w:val="0"/>
          <w:sz w:val="24"/>
          <w:szCs w:val="24"/>
          <w14:ligatures w14:val="none"/>
        </w:rPr>
        <w:t>1. Mejorar la infraestructura de las plantas procesadoras lácteas MIPYMES.</w:t>
      </w:r>
      <w:r w:rsidRPr="004A082C">
        <w:rPr>
          <w:rFonts w:ascii="Times New Roman" w:eastAsia="Times New Roman" w:hAnsi="Times New Roman" w:cs="Times New Roman"/>
          <w:kern w:val="0"/>
          <w:sz w:val="24"/>
          <w:szCs w:val="24"/>
          <w14:ligatures w14:val="none"/>
        </w:rPr>
        <w:br/>
        <w:t>2. Obtener la certificación de las instalaciones procesadoras.</w:t>
      </w:r>
      <w:r w:rsidRPr="004A082C">
        <w:rPr>
          <w:rFonts w:ascii="Times New Roman" w:eastAsia="Times New Roman" w:hAnsi="Times New Roman" w:cs="Times New Roman"/>
          <w:kern w:val="0"/>
          <w:sz w:val="24"/>
          <w:szCs w:val="24"/>
          <w14:ligatures w14:val="none"/>
        </w:rPr>
        <w:br/>
        <w:t>3. Actualizar y modernizar el equipamiento de las plantas procesadoras.</w:t>
      </w:r>
      <w:r w:rsidRPr="004A082C">
        <w:rPr>
          <w:rFonts w:ascii="Times New Roman" w:eastAsia="Times New Roman" w:hAnsi="Times New Roman" w:cs="Times New Roman"/>
          <w:kern w:val="0"/>
          <w:sz w:val="24"/>
          <w:szCs w:val="24"/>
          <w14:ligatures w14:val="none"/>
        </w:rPr>
        <w:br/>
        <w:t>4. Capacitar a los productores y personal en buenas prácticas de producción, manufactura y gestión de calidad.</w:t>
      </w:r>
    </w:p>
    <w:p w14:paraId="36CCF2C6" w14:textId="77777777" w:rsidR="004A082C" w:rsidRPr="004A082C" w:rsidRDefault="004A082C" w:rsidP="004A082C">
      <w:pPr>
        <w:widowControl w:val="0"/>
        <w:autoSpaceDE w:val="0"/>
        <w:autoSpaceDN w:val="0"/>
        <w:spacing w:before="1" w:after="0" w:line="242" w:lineRule="auto"/>
        <w:ind w:right="115"/>
        <w:rPr>
          <w:rFonts w:ascii="Times New Roman" w:eastAsia="Times New Roman" w:hAnsi="Times New Roman" w:cs="Times New Roman"/>
          <w:kern w:val="0"/>
          <w:sz w:val="24"/>
          <w:szCs w:val="24"/>
          <w14:ligatures w14:val="none"/>
        </w:rPr>
      </w:pPr>
    </w:p>
    <w:p w14:paraId="6F8A608E" w14:textId="77777777" w:rsidR="004A082C" w:rsidRPr="004A082C" w:rsidRDefault="004A082C" w:rsidP="004A082C">
      <w:pPr>
        <w:rPr>
          <w:rFonts w:ascii="Calibri" w:eastAsia="Times New Roman" w:hAnsi="Calibri" w:cs="Calibri"/>
          <w:b/>
          <w:bCs/>
          <w:color w:val="000000"/>
          <w:lang w:val="es-ES" w:eastAsia="es-ES"/>
        </w:rPr>
      </w:pPr>
      <w:r w:rsidRPr="004A082C">
        <w:rPr>
          <w:rFonts w:ascii="Calibri" w:eastAsia="Times New Roman" w:hAnsi="Calibri" w:cs="Calibri"/>
          <w:b/>
          <w:bCs/>
          <w:color w:val="000000"/>
          <w:lang w:val="es-ES" w:eastAsia="es-ES"/>
        </w:rPr>
        <w:t>Duración Total en Años:        6 años</w:t>
      </w:r>
    </w:p>
    <w:p w14:paraId="2AA7247E" w14:textId="77777777" w:rsidR="004A082C" w:rsidRPr="004A082C" w:rsidRDefault="004A082C" w:rsidP="004A082C">
      <w:r w:rsidRPr="004A082C">
        <w:rPr>
          <w:rFonts w:ascii="Calibri" w:eastAsia="Times New Roman" w:hAnsi="Calibri" w:cs="Calibri"/>
          <w:b/>
          <w:bCs/>
          <w:color w:val="000000"/>
          <w:lang w:val="es-ES" w:eastAsia="es-ES"/>
        </w:rPr>
        <w:t>Inversión del  Proyecto:        RD$ 810,207, 670.28</w:t>
      </w:r>
    </w:p>
    <w:p w14:paraId="692FC7D1" w14:textId="77777777" w:rsidR="004A082C" w:rsidRPr="004A082C" w:rsidRDefault="004A082C" w:rsidP="004A082C">
      <w:pPr>
        <w:rPr>
          <w:rFonts w:ascii="Calibri" w:eastAsia="Times New Roman" w:hAnsi="Calibri" w:cs="Calibri"/>
          <w:b/>
          <w:bCs/>
          <w:color w:val="000000"/>
          <w:lang w:val="es-ES" w:eastAsia="es-ES"/>
        </w:rPr>
      </w:pPr>
      <w:r w:rsidRPr="004A082C">
        <w:rPr>
          <w:rFonts w:ascii="Calibri" w:eastAsia="Times New Roman" w:hAnsi="Calibri" w:cs="Calibri"/>
          <w:b/>
          <w:bCs/>
          <w:color w:val="000000"/>
          <w:lang w:val="es-ES" w:eastAsia="es-ES"/>
        </w:rPr>
        <w:t>Población objetivo:                9,161</w:t>
      </w:r>
      <w:bookmarkStart w:id="0" w:name="_Hlk188001054"/>
      <w:r w:rsidRPr="004A082C">
        <w:rPr>
          <w:rFonts w:ascii="Calibri" w:eastAsia="Times New Roman" w:hAnsi="Calibri" w:cs="Calibri"/>
          <w:b/>
          <w:bCs/>
          <w:color w:val="000000"/>
          <w:lang w:val="es-ES" w:eastAsia="es-ES"/>
        </w:rPr>
        <w:t xml:space="preserve"> (Queseros, </w:t>
      </w:r>
      <w:bookmarkEnd w:id="0"/>
      <w:r w:rsidRPr="004A082C">
        <w:rPr>
          <w:rFonts w:ascii="Calibri" w:eastAsia="Times New Roman" w:hAnsi="Calibri" w:cs="Calibri"/>
          <w:b/>
          <w:bCs/>
          <w:color w:val="000000"/>
          <w:lang w:val="es-ES" w:eastAsia="es-ES"/>
        </w:rPr>
        <w:t>otros transformadores lácteos y ganaderos).</w:t>
      </w:r>
    </w:p>
    <w:p w14:paraId="691FD0DC" w14:textId="77777777" w:rsidR="00B45669" w:rsidRDefault="00B45669"/>
    <w:sectPr w:rsidR="00B456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2C"/>
    <w:rsid w:val="00024605"/>
    <w:rsid w:val="004A082C"/>
    <w:rsid w:val="004E1719"/>
    <w:rsid w:val="006F2EED"/>
    <w:rsid w:val="008562D6"/>
    <w:rsid w:val="00B45669"/>
    <w:rsid w:val="00CB2596"/>
    <w:rsid w:val="00D94B97"/>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35CDE"/>
  <w15:chartTrackingRefBased/>
  <w15:docId w15:val="{9E6D64D4-CC86-46B9-AD87-A163D475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082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4A082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4A082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4A082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4A082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4A08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08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08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08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082C"/>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4A082C"/>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A082C"/>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4A082C"/>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4A082C"/>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4A08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08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08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082C"/>
    <w:rPr>
      <w:rFonts w:eastAsiaTheme="majorEastAsia" w:cstheme="majorBidi"/>
      <w:color w:val="272727" w:themeColor="text1" w:themeTint="D8"/>
    </w:rPr>
  </w:style>
  <w:style w:type="paragraph" w:styleId="Ttulo">
    <w:name w:val="Title"/>
    <w:basedOn w:val="Normal"/>
    <w:next w:val="Normal"/>
    <w:link w:val="TtuloCar"/>
    <w:uiPriority w:val="10"/>
    <w:qFormat/>
    <w:rsid w:val="004A0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08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08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08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082C"/>
    <w:pPr>
      <w:spacing w:before="160"/>
      <w:jc w:val="center"/>
    </w:pPr>
    <w:rPr>
      <w:i/>
      <w:iCs/>
      <w:color w:val="404040" w:themeColor="text1" w:themeTint="BF"/>
    </w:rPr>
  </w:style>
  <w:style w:type="character" w:customStyle="1" w:styleId="CitaCar">
    <w:name w:val="Cita Car"/>
    <w:basedOn w:val="Fuentedeprrafopredeter"/>
    <w:link w:val="Cita"/>
    <w:uiPriority w:val="29"/>
    <w:rsid w:val="004A082C"/>
    <w:rPr>
      <w:i/>
      <w:iCs/>
      <w:color w:val="404040" w:themeColor="text1" w:themeTint="BF"/>
    </w:rPr>
  </w:style>
  <w:style w:type="paragraph" w:styleId="Prrafodelista">
    <w:name w:val="List Paragraph"/>
    <w:basedOn w:val="Normal"/>
    <w:uiPriority w:val="34"/>
    <w:qFormat/>
    <w:rsid w:val="004A082C"/>
    <w:pPr>
      <w:ind w:left="720"/>
      <w:contextualSpacing/>
    </w:pPr>
  </w:style>
  <w:style w:type="character" w:styleId="nfasisintenso">
    <w:name w:val="Intense Emphasis"/>
    <w:basedOn w:val="Fuentedeprrafopredeter"/>
    <w:uiPriority w:val="21"/>
    <w:qFormat/>
    <w:rsid w:val="004A082C"/>
    <w:rPr>
      <w:i/>
      <w:iCs/>
      <w:color w:val="2E74B5" w:themeColor="accent1" w:themeShade="BF"/>
    </w:rPr>
  </w:style>
  <w:style w:type="paragraph" w:styleId="Citadestacada">
    <w:name w:val="Intense Quote"/>
    <w:basedOn w:val="Normal"/>
    <w:next w:val="Normal"/>
    <w:link w:val="CitadestacadaCar"/>
    <w:uiPriority w:val="30"/>
    <w:qFormat/>
    <w:rsid w:val="004A08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4A082C"/>
    <w:rPr>
      <w:i/>
      <w:iCs/>
      <w:color w:val="2E74B5" w:themeColor="accent1" w:themeShade="BF"/>
    </w:rPr>
  </w:style>
  <w:style w:type="character" w:styleId="Referenciaintensa">
    <w:name w:val="Intense Reference"/>
    <w:basedOn w:val="Fuentedeprrafopredeter"/>
    <w:uiPriority w:val="32"/>
    <w:qFormat/>
    <w:rsid w:val="004A082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1554</Characters>
  <Application>Microsoft Office Word</Application>
  <DocSecurity>0</DocSecurity>
  <Lines>12</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Santana</dc:creator>
  <cp:keywords/>
  <dc:description/>
  <cp:lastModifiedBy>Bernardo Santana</cp:lastModifiedBy>
  <cp:revision>1</cp:revision>
  <dcterms:created xsi:type="dcterms:W3CDTF">2025-02-07T18:33:00Z</dcterms:created>
  <dcterms:modified xsi:type="dcterms:W3CDTF">2025-02-07T18:34:00Z</dcterms:modified>
</cp:coreProperties>
</file>